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rFonts w:hint="eastAsia" w:ascii="楷体_GB2312" w:hAnsi="Calibri" w:eastAsia="楷体_GB2312"/>
          <w:sz w:val="32"/>
          <w:szCs w:val="32"/>
          <w:lang w:eastAsia="zh-CN"/>
        </w:rPr>
      </w:pPr>
      <w:r>
        <w:rPr>
          <w:rFonts w:hint="eastAsia" w:ascii="楷体_GB2312" w:hAnsi="Calibri" w:eastAsia="楷体_GB2312"/>
          <w:sz w:val="32"/>
          <w:szCs w:val="32"/>
        </w:rPr>
        <w:t>附件</w:t>
      </w:r>
      <w:r>
        <w:rPr>
          <w:rFonts w:hint="eastAsia" w:ascii="楷体_GB2312" w:hAnsi="Calibri" w:eastAsia="楷体_GB2312"/>
          <w:sz w:val="32"/>
          <w:szCs w:val="32"/>
          <w:lang w:val="en-US" w:eastAsia="zh-CN"/>
        </w:rPr>
        <w:t>2</w:t>
      </w:r>
    </w:p>
    <w:p>
      <w:pPr>
        <w:spacing w:line="500" w:lineRule="exact"/>
        <w:jc w:val="center"/>
        <w:rPr>
          <w:rFonts w:ascii="方正小标宋_GBK" w:eastAsia="方正小标宋_GBK"/>
          <w:sz w:val="36"/>
          <w:szCs w:val="36"/>
        </w:rPr>
      </w:pPr>
      <w:r>
        <w:rPr>
          <w:rFonts w:hint="eastAsia" w:ascii="方正小标宋_GBK" w:eastAsia="方正小标宋_GBK"/>
          <w:sz w:val="36"/>
          <w:szCs w:val="36"/>
        </w:rPr>
        <w:t>“双一流”学科群基本情况介绍</w:t>
      </w:r>
    </w:p>
    <w:p>
      <w:pPr>
        <w:spacing w:line="500" w:lineRule="exact"/>
        <w:jc w:val="center"/>
        <w:rPr>
          <w:b/>
          <w:sz w:val="32"/>
          <w:szCs w:val="32"/>
        </w:rPr>
      </w:pPr>
    </w:p>
    <w:p>
      <w:pPr>
        <w:ind w:firstLine="588" w:firstLineChars="196"/>
        <w:jc w:val="left"/>
        <w:rPr>
          <w:rFonts w:ascii="仿宋_GB2312" w:eastAsia="仿宋_GB2312"/>
          <w:sz w:val="30"/>
          <w:szCs w:val="30"/>
        </w:rPr>
      </w:pPr>
      <w:r>
        <w:rPr>
          <w:rFonts w:hint="eastAsia" w:ascii="仿宋_GB2312" w:eastAsia="仿宋_GB2312"/>
          <w:sz w:val="30"/>
          <w:szCs w:val="30"/>
        </w:rPr>
        <w:t>依据学校《一流大学整体建设方案（2021-2025</w:t>
      </w:r>
      <w:r>
        <w:rPr>
          <w:rFonts w:hint="eastAsia" w:ascii="仿宋_GB2312" w:eastAsia="仿宋_GB2312"/>
          <w:sz w:val="30"/>
          <w:szCs w:val="30"/>
          <w:lang w:eastAsia="zh-CN"/>
        </w:rPr>
        <w:t>年</w:t>
      </w:r>
      <w:r>
        <w:rPr>
          <w:rFonts w:hint="eastAsia" w:ascii="仿宋_GB2312" w:eastAsia="仿宋_GB2312"/>
          <w:sz w:val="30"/>
          <w:szCs w:val="30"/>
        </w:rPr>
        <w:t>）》，</w:t>
      </w:r>
      <w:r>
        <w:rPr>
          <w:rFonts w:hint="eastAsia" w:ascii="仿宋_GB2312" w:eastAsia="仿宋_GB2312"/>
          <w:sz w:val="30"/>
          <w:szCs w:val="30"/>
          <w:lang w:eastAsia="zh-CN"/>
        </w:rPr>
        <w:t>“双一流”</w:t>
      </w:r>
      <w:r>
        <w:rPr>
          <w:rFonts w:hint="eastAsia" w:ascii="仿宋_GB2312" w:eastAsia="仿宋_GB2312"/>
          <w:sz w:val="30"/>
          <w:szCs w:val="30"/>
        </w:rPr>
        <w:t>学科群是以对接国家重大战略、承接国家重大任务、产出重大核心成果为导向，打破学科、学院的“篱笆墙”，按照创新目标构建创新链，按创新链关键环节需求组配多学科力量，形成围绕目标任务紧密协作的创新团队，持续产出重大核心成果</w:t>
      </w:r>
      <w:bookmarkStart w:id="0" w:name="_GoBack"/>
      <w:bookmarkEnd w:id="0"/>
      <w:r>
        <w:rPr>
          <w:rFonts w:hint="eastAsia" w:ascii="仿宋_GB2312" w:eastAsia="仿宋_GB2312"/>
          <w:sz w:val="30"/>
          <w:szCs w:val="30"/>
        </w:rPr>
        <w:t>，推动相关科技平台进入国家创新体系，打造成为战略科技力量，提升学科核心竞争力、支撑带动学校学科整体发展。</w:t>
      </w:r>
    </w:p>
    <w:p>
      <w:pPr>
        <w:ind w:firstLine="588" w:firstLineChars="196"/>
        <w:jc w:val="left"/>
        <w:rPr>
          <w:rFonts w:ascii="黑体" w:hAnsi="黑体" w:eastAsia="黑体" w:cs="黑体"/>
          <w:sz w:val="30"/>
          <w:szCs w:val="30"/>
        </w:rPr>
      </w:pPr>
      <w:r>
        <w:rPr>
          <w:rFonts w:hint="eastAsia" w:ascii="黑体" w:hAnsi="黑体" w:eastAsia="黑体" w:cs="黑体"/>
          <w:sz w:val="30"/>
          <w:szCs w:val="30"/>
        </w:rPr>
        <w:t>一、旱区作物逆境生物学与绿色生产学科群</w:t>
      </w:r>
    </w:p>
    <w:p>
      <w:pPr>
        <w:ind w:firstLine="590" w:firstLineChars="196"/>
        <w:jc w:val="left"/>
        <w:rPr>
          <w:rFonts w:ascii="仿宋_GB2312" w:eastAsia="仿宋_GB2312"/>
          <w:sz w:val="30"/>
          <w:szCs w:val="30"/>
        </w:rPr>
      </w:pPr>
      <w:r>
        <w:rPr>
          <w:rFonts w:hint="eastAsia" w:ascii="仿宋_GB2312" w:eastAsia="仿宋_GB2312"/>
          <w:b/>
          <w:bCs/>
          <w:sz w:val="30"/>
          <w:szCs w:val="30"/>
        </w:rPr>
        <w:t>依托平台：</w:t>
      </w:r>
      <w:r>
        <w:rPr>
          <w:rFonts w:hint="eastAsia" w:ascii="仿宋_GB2312" w:eastAsia="仿宋_GB2312"/>
          <w:sz w:val="30"/>
          <w:szCs w:val="30"/>
        </w:rPr>
        <w:t>旱区作物逆境生物学国家重点实验室</w:t>
      </w:r>
    </w:p>
    <w:p>
      <w:pPr>
        <w:ind w:firstLine="590" w:firstLineChars="196"/>
        <w:jc w:val="left"/>
        <w:rPr>
          <w:rFonts w:ascii="仿宋_GB2312" w:eastAsia="仿宋_GB2312"/>
          <w:sz w:val="30"/>
          <w:szCs w:val="30"/>
        </w:rPr>
      </w:pPr>
      <w:r>
        <w:rPr>
          <w:rFonts w:hint="eastAsia" w:ascii="仿宋_GB2312" w:eastAsia="仿宋_GB2312"/>
          <w:b/>
          <w:bCs/>
          <w:sz w:val="30"/>
          <w:szCs w:val="30"/>
        </w:rPr>
        <w:t>支撑学科：</w:t>
      </w:r>
      <w:r>
        <w:rPr>
          <w:rFonts w:hint="eastAsia" w:ascii="仿宋_GB2312" w:eastAsia="仿宋_GB2312"/>
          <w:sz w:val="30"/>
          <w:szCs w:val="30"/>
        </w:rPr>
        <w:t>植物保护、作物学、园艺学、生物学</w:t>
      </w:r>
    </w:p>
    <w:p>
      <w:pPr>
        <w:ind w:firstLine="590" w:firstLineChars="196"/>
        <w:jc w:val="left"/>
        <w:rPr>
          <w:rFonts w:ascii="仿宋_GB2312" w:eastAsia="仿宋_GB2312"/>
          <w:sz w:val="30"/>
          <w:szCs w:val="30"/>
        </w:rPr>
      </w:pPr>
      <w:r>
        <w:rPr>
          <w:rFonts w:hint="eastAsia" w:ascii="仿宋_GB2312" w:eastAsia="仿宋_GB2312"/>
          <w:b/>
          <w:bCs/>
          <w:sz w:val="30"/>
          <w:szCs w:val="30"/>
        </w:rPr>
        <w:t>首席科学家：</w:t>
      </w:r>
      <w:r>
        <w:rPr>
          <w:rFonts w:hint="eastAsia" w:ascii="仿宋_GB2312" w:eastAsia="仿宋_GB2312"/>
          <w:sz w:val="30"/>
          <w:szCs w:val="30"/>
        </w:rPr>
        <w:t>康振生</w:t>
      </w:r>
    </w:p>
    <w:p>
      <w:pPr>
        <w:ind w:firstLine="590" w:firstLineChars="196"/>
        <w:jc w:val="left"/>
        <w:rPr>
          <w:rFonts w:ascii="仿宋_GB2312" w:eastAsia="仿宋_GB2312"/>
          <w:sz w:val="30"/>
          <w:szCs w:val="30"/>
        </w:rPr>
      </w:pPr>
      <w:r>
        <w:rPr>
          <w:rFonts w:hint="eastAsia" w:ascii="仿宋_GB2312" w:eastAsia="仿宋_GB2312"/>
          <w:b/>
          <w:bCs/>
          <w:sz w:val="30"/>
          <w:szCs w:val="30"/>
        </w:rPr>
        <w:t>建设方向：</w:t>
      </w:r>
      <w:r>
        <w:rPr>
          <w:rFonts w:hint="eastAsia" w:ascii="仿宋_GB2312" w:eastAsia="仿宋_GB2312"/>
          <w:sz w:val="30"/>
          <w:szCs w:val="30"/>
        </w:rPr>
        <w:t>围绕旱区作物生产中急需解决的优良抗逆品种、重大病虫害综合防控和绿色生产技术等重大问题，着力在抗逆种质资源挖掘与生物育种、重大有害生物致灾机理与综合防控、农业微生物保护利用、生物源农药创制与应用等方向开展研究。</w:t>
      </w:r>
    </w:p>
    <w:p>
      <w:pPr>
        <w:ind w:firstLine="590" w:firstLineChars="196"/>
        <w:jc w:val="left"/>
      </w:pPr>
      <w:r>
        <w:rPr>
          <w:rFonts w:hint="eastAsia" w:ascii="仿宋_GB2312" w:eastAsia="仿宋_GB2312"/>
          <w:b/>
          <w:bCs/>
          <w:sz w:val="30"/>
          <w:szCs w:val="30"/>
        </w:rPr>
        <w:t>建设目标：</w:t>
      </w:r>
      <w:r>
        <w:rPr>
          <w:rFonts w:hint="eastAsia" w:ascii="仿宋_GB2312" w:eastAsia="仿宋_GB2312"/>
          <w:sz w:val="30"/>
          <w:szCs w:val="30"/>
        </w:rPr>
        <w:t>小麦重大真菌病害灾变机理与持续控制领域创新水平率先达到国际领先水平，作物病原菌致病机理与持续控制、小麦苹果抗逆生物学及新品种选育领域创新水平世界一流，支持引领植物保护学科达到国内领先国际知名。</w:t>
      </w:r>
    </w:p>
    <w:p>
      <w:pPr>
        <w:spacing w:before="468" w:beforeLines="150"/>
        <w:ind w:firstLine="588" w:firstLineChars="196"/>
        <w:jc w:val="left"/>
        <w:rPr>
          <w:rFonts w:ascii="黑体" w:hAnsi="黑体" w:eastAsia="黑体" w:cs="黑体"/>
          <w:sz w:val="30"/>
          <w:szCs w:val="30"/>
        </w:rPr>
      </w:pPr>
      <w:r>
        <w:rPr>
          <w:rFonts w:hint="eastAsia" w:ascii="黑体" w:hAnsi="黑体" w:eastAsia="黑体" w:cs="黑体"/>
          <w:sz w:val="30"/>
          <w:szCs w:val="30"/>
        </w:rPr>
        <w:t>二、畜禽生物学与健康养殖学科群</w:t>
      </w:r>
    </w:p>
    <w:p>
      <w:pPr>
        <w:ind w:firstLine="590" w:firstLineChars="196"/>
        <w:jc w:val="left"/>
        <w:rPr>
          <w:rFonts w:ascii="仿宋_GB2312" w:eastAsia="仿宋_GB2312"/>
          <w:sz w:val="30"/>
          <w:szCs w:val="30"/>
        </w:rPr>
      </w:pPr>
      <w:r>
        <w:rPr>
          <w:rFonts w:hint="eastAsia" w:ascii="仿宋_GB2312" w:eastAsia="仿宋_GB2312"/>
          <w:b/>
          <w:bCs/>
          <w:sz w:val="30"/>
          <w:szCs w:val="30"/>
        </w:rPr>
        <w:t>依托平台：</w:t>
      </w:r>
      <w:r>
        <w:rPr>
          <w:rFonts w:hint="eastAsia" w:eastAsia="仿宋_GB2312"/>
          <w:sz w:val="30"/>
          <w:szCs w:val="30"/>
        </w:rPr>
        <w:t>家畜生物学重点实验室</w:t>
      </w:r>
    </w:p>
    <w:p>
      <w:pPr>
        <w:ind w:firstLine="590" w:firstLineChars="196"/>
        <w:jc w:val="left"/>
        <w:rPr>
          <w:rFonts w:ascii="仿宋_GB2312" w:eastAsia="仿宋_GB2312"/>
          <w:sz w:val="30"/>
          <w:szCs w:val="30"/>
        </w:rPr>
      </w:pPr>
      <w:r>
        <w:rPr>
          <w:rFonts w:hint="eastAsia" w:ascii="仿宋_GB2312" w:eastAsia="仿宋_GB2312"/>
          <w:b/>
          <w:bCs/>
          <w:sz w:val="30"/>
          <w:szCs w:val="30"/>
        </w:rPr>
        <w:t>支撑学科：</w:t>
      </w:r>
      <w:r>
        <w:rPr>
          <w:rFonts w:hint="eastAsia" w:ascii="仿宋_GB2312" w:eastAsia="仿宋_GB2312"/>
          <w:sz w:val="30"/>
          <w:szCs w:val="30"/>
        </w:rPr>
        <w:t>畜牧学、兽医学、草学</w:t>
      </w:r>
    </w:p>
    <w:p>
      <w:pPr>
        <w:ind w:firstLine="590" w:firstLineChars="196"/>
        <w:jc w:val="left"/>
        <w:rPr>
          <w:rFonts w:ascii="仿宋_GB2312" w:eastAsia="仿宋_GB2312"/>
          <w:sz w:val="30"/>
          <w:szCs w:val="30"/>
        </w:rPr>
      </w:pPr>
      <w:r>
        <w:rPr>
          <w:rFonts w:hint="eastAsia" w:ascii="仿宋_GB2312" w:eastAsia="仿宋_GB2312"/>
          <w:b/>
          <w:bCs/>
          <w:sz w:val="30"/>
          <w:szCs w:val="30"/>
        </w:rPr>
        <w:t>首席科学家：</w:t>
      </w:r>
      <w:r>
        <w:rPr>
          <w:rFonts w:hint="eastAsia" w:ascii="仿宋_GB2312" w:eastAsia="仿宋_GB2312"/>
          <w:sz w:val="30"/>
          <w:szCs w:val="30"/>
        </w:rPr>
        <w:t>张涌</w:t>
      </w:r>
    </w:p>
    <w:p>
      <w:pPr>
        <w:ind w:firstLine="590" w:firstLineChars="196"/>
        <w:jc w:val="left"/>
        <w:rPr>
          <w:rFonts w:ascii="仿宋_GB2312" w:eastAsia="仿宋_GB2312"/>
          <w:sz w:val="30"/>
          <w:szCs w:val="30"/>
        </w:rPr>
      </w:pPr>
      <w:r>
        <w:rPr>
          <w:rFonts w:hint="eastAsia" w:ascii="仿宋_GB2312" w:eastAsia="仿宋_GB2312"/>
          <w:b/>
          <w:bCs/>
          <w:sz w:val="30"/>
          <w:szCs w:val="30"/>
        </w:rPr>
        <w:t>建设方向：</w:t>
      </w:r>
      <w:r>
        <w:rPr>
          <w:rFonts w:hint="eastAsia" w:ascii="仿宋_GB2312" w:eastAsia="仿宋_GB2312"/>
          <w:sz w:val="30"/>
          <w:szCs w:val="30"/>
        </w:rPr>
        <w:t>针对制约我国畜牧业可持续发展的良种、饲料与重大疾病三大瓶颈问题，着力在畜禽遗传资源挖掘利用、生物工程育种、营养调控与饲料工程、高效健康养殖等方向开展研究。</w:t>
      </w:r>
    </w:p>
    <w:p>
      <w:pPr>
        <w:ind w:firstLine="590" w:firstLineChars="196"/>
        <w:jc w:val="left"/>
        <w:rPr>
          <w:rFonts w:ascii="仿宋_GB2312" w:eastAsia="仿宋_GB2312"/>
          <w:sz w:val="30"/>
          <w:szCs w:val="30"/>
        </w:rPr>
      </w:pPr>
      <w:r>
        <w:rPr>
          <w:rFonts w:hint="eastAsia" w:ascii="仿宋_GB2312" w:eastAsia="仿宋_GB2312"/>
          <w:b/>
          <w:bCs/>
          <w:sz w:val="30"/>
          <w:szCs w:val="30"/>
        </w:rPr>
        <w:t>建设目标：</w:t>
      </w:r>
      <w:r>
        <w:rPr>
          <w:rFonts w:hint="eastAsia" w:ascii="仿宋_GB2312" w:eastAsia="仿宋_GB2312"/>
          <w:sz w:val="30"/>
          <w:szCs w:val="30"/>
        </w:rPr>
        <w:t>牛羊基因工程育种、畜禽遗传资源挖掘与利用领域创新水平世界一流，支持引领畜牧学达到国内领先国际知名。</w:t>
      </w:r>
    </w:p>
    <w:p>
      <w:pPr>
        <w:ind w:firstLine="588" w:firstLineChars="196"/>
        <w:jc w:val="left"/>
        <w:rPr>
          <w:rFonts w:ascii="黑体" w:hAnsi="黑体" w:eastAsia="黑体" w:cs="黑体"/>
          <w:sz w:val="30"/>
          <w:szCs w:val="30"/>
        </w:rPr>
      </w:pPr>
      <w:r>
        <w:rPr>
          <w:rFonts w:hint="eastAsia" w:ascii="黑体" w:hAnsi="黑体" w:eastAsia="黑体" w:cs="黑体"/>
          <w:sz w:val="30"/>
          <w:szCs w:val="30"/>
        </w:rPr>
        <w:t>三、国土治理与生态修复学科群</w:t>
      </w:r>
    </w:p>
    <w:p>
      <w:pPr>
        <w:ind w:firstLine="590" w:firstLineChars="196"/>
        <w:jc w:val="left"/>
        <w:rPr>
          <w:rFonts w:ascii="仿宋_GB2312" w:eastAsia="仿宋_GB2312"/>
          <w:sz w:val="30"/>
          <w:szCs w:val="30"/>
        </w:rPr>
      </w:pPr>
      <w:r>
        <w:rPr>
          <w:rFonts w:hint="eastAsia" w:ascii="仿宋_GB2312" w:eastAsia="仿宋_GB2312"/>
          <w:b/>
          <w:bCs/>
          <w:sz w:val="30"/>
          <w:szCs w:val="30"/>
        </w:rPr>
        <w:t>依托平台：</w:t>
      </w:r>
      <w:r>
        <w:rPr>
          <w:rFonts w:hint="eastAsia" w:ascii="仿宋_GB2312" w:eastAsia="仿宋_GB2312"/>
          <w:sz w:val="30"/>
          <w:szCs w:val="30"/>
        </w:rPr>
        <w:t>黄土高原土壤侵蚀与旱地农业国家重点实验室</w:t>
      </w:r>
    </w:p>
    <w:p>
      <w:pPr>
        <w:ind w:firstLine="590" w:firstLineChars="196"/>
        <w:jc w:val="left"/>
        <w:rPr>
          <w:rFonts w:ascii="仿宋_GB2312" w:eastAsia="仿宋_GB2312"/>
          <w:sz w:val="30"/>
          <w:szCs w:val="30"/>
        </w:rPr>
      </w:pPr>
      <w:r>
        <w:rPr>
          <w:rFonts w:hint="eastAsia" w:ascii="仿宋_GB2312" w:hAnsi="Calibri" w:eastAsia="仿宋_GB2312"/>
          <w:b/>
          <w:bCs/>
          <w:sz w:val="30"/>
          <w:szCs w:val="30"/>
        </w:rPr>
        <w:t>支撑学科：</w:t>
      </w:r>
      <w:r>
        <w:rPr>
          <w:rFonts w:hint="eastAsia" w:ascii="仿宋_GB2312" w:eastAsia="仿宋_GB2312"/>
          <w:sz w:val="30"/>
          <w:szCs w:val="30"/>
        </w:rPr>
        <w:t>林学、农业资源与环境、环境科学与工程</w:t>
      </w:r>
    </w:p>
    <w:p>
      <w:pPr>
        <w:ind w:firstLine="590" w:firstLineChars="196"/>
        <w:jc w:val="left"/>
        <w:rPr>
          <w:rFonts w:ascii="仿宋_GB2312" w:eastAsia="仿宋_GB2312"/>
          <w:sz w:val="30"/>
          <w:szCs w:val="30"/>
        </w:rPr>
      </w:pPr>
      <w:r>
        <w:rPr>
          <w:rFonts w:hint="eastAsia" w:ascii="仿宋_GB2312" w:eastAsia="仿宋_GB2312"/>
          <w:b/>
          <w:bCs/>
          <w:sz w:val="30"/>
          <w:szCs w:val="30"/>
        </w:rPr>
        <w:t>首席科学家：</w:t>
      </w:r>
      <w:r>
        <w:rPr>
          <w:rFonts w:hint="eastAsia" w:ascii="仿宋_GB2312" w:eastAsia="仿宋_GB2312"/>
          <w:sz w:val="30"/>
          <w:szCs w:val="30"/>
        </w:rPr>
        <w:t>上官周平</w:t>
      </w:r>
    </w:p>
    <w:p>
      <w:pPr>
        <w:ind w:firstLine="590" w:firstLineChars="196"/>
        <w:jc w:val="left"/>
        <w:rPr>
          <w:rFonts w:ascii="仿宋_GB2312" w:eastAsia="仿宋_GB2312"/>
          <w:sz w:val="30"/>
          <w:szCs w:val="30"/>
        </w:rPr>
      </w:pPr>
      <w:r>
        <w:rPr>
          <w:rFonts w:hint="eastAsia" w:ascii="仿宋_GB2312" w:hAnsi="Calibri" w:eastAsia="仿宋_GB2312"/>
          <w:b/>
          <w:bCs/>
          <w:sz w:val="30"/>
          <w:szCs w:val="30"/>
        </w:rPr>
        <w:t>建设方向：</w:t>
      </w:r>
      <w:r>
        <w:rPr>
          <w:rFonts w:hint="eastAsia" w:ascii="仿宋_GB2312" w:eastAsia="仿宋_GB2312"/>
          <w:sz w:val="30"/>
          <w:szCs w:val="30"/>
        </w:rPr>
        <w:t>围绕黄河流域生态保护与高质量发展，着力在旱区土地综合整治与耕地质量提升、农业面源污染治理、黄土高原生态系统维护与修复、森林培育与碳达峰碳中和等方向研究。</w:t>
      </w:r>
    </w:p>
    <w:p>
      <w:pPr>
        <w:spacing w:line="560" w:lineRule="exact"/>
        <w:ind w:firstLine="602" w:firstLineChars="200"/>
        <w:rPr>
          <w:rFonts w:ascii="仿宋_GB2312" w:eastAsia="仿宋_GB2312"/>
          <w:sz w:val="30"/>
          <w:szCs w:val="30"/>
        </w:rPr>
      </w:pPr>
      <w:r>
        <w:rPr>
          <w:rFonts w:hint="eastAsia" w:ascii="仿宋_GB2312" w:hAnsi="Calibri" w:eastAsia="仿宋_GB2312"/>
          <w:b/>
          <w:bCs/>
          <w:sz w:val="30"/>
          <w:szCs w:val="30"/>
        </w:rPr>
        <w:t>建设目标：</w:t>
      </w:r>
      <w:r>
        <w:rPr>
          <w:rFonts w:hint="eastAsia" w:ascii="仿宋_GB2312" w:eastAsia="仿宋_GB2312"/>
          <w:sz w:val="30"/>
          <w:szCs w:val="30"/>
        </w:rPr>
        <w:t>土壤侵蚀过程与水土保持、旱区土地综合整治与耕地质量、全球变化与区域生态系统响应领域创新水平世界一流。</w:t>
      </w:r>
    </w:p>
    <w:p>
      <w:pPr>
        <w:ind w:firstLine="588" w:firstLineChars="196"/>
        <w:jc w:val="left"/>
        <w:rPr>
          <w:rFonts w:ascii="黑体" w:hAnsi="黑体" w:eastAsia="黑体" w:cs="黑体"/>
          <w:sz w:val="30"/>
          <w:szCs w:val="30"/>
        </w:rPr>
      </w:pPr>
      <w:r>
        <w:rPr>
          <w:rFonts w:hint="eastAsia" w:ascii="黑体" w:hAnsi="黑体" w:eastAsia="黑体" w:cs="黑体"/>
          <w:sz w:val="30"/>
          <w:szCs w:val="30"/>
        </w:rPr>
        <w:t>四、农业高效用水与区域水安全学科群</w:t>
      </w:r>
    </w:p>
    <w:p>
      <w:pPr>
        <w:ind w:firstLine="590" w:firstLineChars="196"/>
        <w:jc w:val="left"/>
        <w:rPr>
          <w:rFonts w:ascii="仿宋_GB2312" w:eastAsia="仿宋_GB2312"/>
          <w:b/>
          <w:bCs/>
          <w:sz w:val="30"/>
          <w:szCs w:val="30"/>
        </w:rPr>
      </w:pPr>
      <w:r>
        <w:rPr>
          <w:rFonts w:hint="eastAsia" w:ascii="仿宋_GB2312" w:eastAsia="仿宋_GB2312"/>
          <w:b/>
          <w:bCs/>
          <w:sz w:val="30"/>
          <w:szCs w:val="30"/>
        </w:rPr>
        <w:t>依托平台：</w:t>
      </w:r>
      <w:r>
        <w:rPr>
          <w:rFonts w:hint="eastAsia" w:ascii="仿宋_GB2312" w:eastAsia="仿宋_GB2312"/>
          <w:sz w:val="30"/>
          <w:szCs w:val="30"/>
        </w:rPr>
        <w:t>旱区作物高效用水国家工程实验室</w:t>
      </w:r>
    </w:p>
    <w:p>
      <w:pPr>
        <w:ind w:firstLine="590" w:firstLineChars="196"/>
        <w:jc w:val="left"/>
        <w:rPr>
          <w:rFonts w:ascii="仿宋_GB2312" w:eastAsia="仿宋_GB2312"/>
          <w:sz w:val="30"/>
          <w:szCs w:val="30"/>
        </w:rPr>
      </w:pPr>
      <w:r>
        <w:rPr>
          <w:rFonts w:hint="eastAsia" w:ascii="仿宋_GB2312" w:hAnsi="Calibri" w:eastAsia="仿宋_GB2312"/>
          <w:b/>
          <w:bCs/>
          <w:sz w:val="30"/>
          <w:szCs w:val="30"/>
        </w:rPr>
        <w:t>支撑学科：</w:t>
      </w:r>
      <w:r>
        <w:rPr>
          <w:rFonts w:hint="eastAsia" w:ascii="仿宋_GB2312" w:eastAsia="仿宋_GB2312"/>
          <w:sz w:val="30"/>
          <w:szCs w:val="30"/>
        </w:rPr>
        <w:t>农业工程、水利工程</w:t>
      </w:r>
    </w:p>
    <w:p>
      <w:pPr>
        <w:ind w:firstLine="590" w:firstLineChars="196"/>
        <w:jc w:val="left"/>
        <w:rPr>
          <w:rFonts w:ascii="仿宋_GB2312" w:eastAsia="仿宋_GB2312"/>
          <w:sz w:val="30"/>
          <w:szCs w:val="30"/>
        </w:rPr>
      </w:pPr>
      <w:r>
        <w:rPr>
          <w:rFonts w:hint="eastAsia" w:ascii="仿宋_GB2312" w:eastAsia="仿宋_GB2312"/>
          <w:b/>
          <w:bCs/>
          <w:sz w:val="30"/>
          <w:szCs w:val="30"/>
        </w:rPr>
        <w:t>首席科学家：</w:t>
      </w:r>
      <w:r>
        <w:rPr>
          <w:rFonts w:hint="eastAsia" w:ascii="仿宋_GB2312" w:eastAsia="仿宋_GB2312"/>
          <w:sz w:val="30"/>
          <w:szCs w:val="30"/>
        </w:rPr>
        <w:t>蔡焕杰</w:t>
      </w:r>
    </w:p>
    <w:p>
      <w:pPr>
        <w:ind w:firstLine="590" w:firstLineChars="196"/>
        <w:jc w:val="left"/>
        <w:rPr>
          <w:rFonts w:ascii="仿宋_GB2312" w:eastAsia="仿宋_GB2312"/>
          <w:sz w:val="30"/>
          <w:szCs w:val="30"/>
        </w:rPr>
      </w:pPr>
      <w:r>
        <w:rPr>
          <w:rFonts w:hint="eastAsia" w:ascii="仿宋_GB2312" w:hAnsi="Calibri" w:eastAsia="仿宋_GB2312"/>
          <w:b/>
          <w:bCs/>
          <w:sz w:val="30"/>
          <w:szCs w:val="30"/>
        </w:rPr>
        <w:t>建设方向：</w:t>
      </w:r>
      <w:r>
        <w:rPr>
          <w:rFonts w:hint="eastAsia" w:ascii="仿宋_GB2312" w:eastAsia="仿宋_GB2312"/>
          <w:sz w:val="30"/>
          <w:szCs w:val="30"/>
        </w:rPr>
        <w:t>围绕干旱缺水这一制约旱区农业发展的世界性难题，着力在农业节水关键理论与方法、农业水信息化与智能灌溉技术、绿色低能耗节水灌溉新装备、区域水安全理论与水资源可持续利用等方向开展研究。</w:t>
      </w:r>
    </w:p>
    <w:p>
      <w:pPr>
        <w:ind w:firstLine="590" w:firstLineChars="196"/>
        <w:jc w:val="left"/>
        <w:rPr>
          <w:rFonts w:ascii="仿宋_GB2312" w:eastAsia="仿宋_GB2312"/>
          <w:sz w:val="30"/>
          <w:szCs w:val="30"/>
        </w:rPr>
      </w:pPr>
      <w:r>
        <w:rPr>
          <w:rFonts w:hint="eastAsia" w:ascii="仿宋_GB2312" w:hAnsi="Calibri" w:eastAsia="仿宋_GB2312"/>
          <w:b/>
          <w:bCs/>
          <w:sz w:val="30"/>
          <w:szCs w:val="30"/>
        </w:rPr>
        <w:t>建设目标：</w:t>
      </w:r>
      <w:r>
        <w:rPr>
          <w:rFonts w:hint="eastAsia" w:ascii="仿宋_GB2312" w:eastAsia="仿宋_GB2312"/>
          <w:sz w:val="30"/>
          <w:szCs w:val="30"/>
        </w:rPr>
        <w:t>作物耗水过程与调控方向、节水灌溉技术与装备方向等方向达到世界一流。</w:t>
      </w:r>
    </w:p>
    <w:p>
      <w:pPr>
        <w:ind w:firstLine="588" w:firstLineChars="196"/>
        <w:jc w:val="left"/>
        <w:rPr>
          <w:rFonts w:ascii="黑体" w:hAnsi="黑体" w:eastAsia="黑体" w:cs="黑体"/>
          <w:sz w:val="30"/>
          <w:szCs w:val="30"/>
        </w:rPr>
      </w:pPr>
      <w:r>
        <w:rPr>
          <w:rFonts w:hint="eastAsia" w:ascii="黑体" w:hAnsi="黑体" w:eastAsia="黑体" w:cs="黑体"/>
          <w:sz w:val="30"/>
          <w:szCs w:val="30"/>
        </w:rPr>
        <w:t>五、农产品加工与营养健康学科群</w:t>
      </w:r>
    </w:p>
    <w:p>
      <w:pPr>
        <w:ind w:firstLine="590" w:firstLineChars="196"/>
        <w:jc w:val="left"/>
        <w:rPr>
          <w:rFonts w:ascii="仿宋_GB2312" w:eastAsia="仿宋_GB2312"/>
          <w:sz w:val="30"/>
          <w:szCs w:val="30"/>
        </w:rPr>
      </w:pPr>
      <w:r>
        <w:rPr>
          <w:rFonts w:hint="eastAsia" w:ascii="仿宋_GB2312" w:eastAsia="仿宋_GB2312"/>
          <w:b/>
          <w:bCs/>
          <w:sz w:val="30"/>
          <w:szCs w:val="30"/>
        </w:rPr>
        <w:t>依托平台：</w:t>
      </w:r>
      <w:r>
        <w:rPr>
          <w:rFonts w:hint="eastAsia" w:ascii="仿宋_GB2312" w:eastAsia="仿宋_GB2312"/>
          <w:sz w:val="30"/>
          <w:szCs w:val="30"/>
        </w:rPr>
        <w:t>国家杨凌农业综合试验工程技术研究中心</w:t>
      </w:r>
    </w:p>
    <w:p>
      <w:pPr>
        <w:ind w:firstLine="590" w:firstLineChars="196"/>
        <w:jc w:val="left"/>
        <w:rPr>
          <w:rFonts w:ascii="仿宋_GB2312" w:eastAsia="仿宋_GB2312"/>
          <w:sz w:val="30"/>
          <w:szCs w:val="30"/>
        </w:rPr>
      </w:pPr>
      <w:r>
        <w:rPr>
          <w:rFonts w:hint="eastAsia" w:ascii="仿宋_GB2312" w:hAnsi="Calibri" w:eastAsia="仿宋_GB2312"/>
          <w:b/>
          <w:bCs/>
          <w:sz w:val="30"/>
          <w:szCs w:val="30"/>
        </w:rPr>
        <w:t>支撑学科：</w:t>
      </w:r>
      <w:r>
        <w:rPr>
          <w:rFonts w:hint="eastAsia" w:ascii="仿宋_GB2312" w:eastAsia="仿宋_GB2312"/>
          <w:sz w:val="30"/>
          <w:szCs w:val="30"/>
        </w:rPr>
        <w:t>食品科学与工程、生物学（化学生物学方向）、药学</w:t>
      </w:r>
    </w:p>
    <w:p>
      <w:pPr>
        <w:ind w:firstLine="590" w:firstLineChars="196"/>
        <w:jc w:val="left"/>
        <w:rPr>
          <w:rFonts w:ascii="仿宋_GB2312" w:eastAsia="仿宋_GB2312"/>
          <w:sz w:val="30"/>
          <w:szCs w:val="30"/>
        </w:rPr>
      </w:pPr>
      <w:r>
        <w:rPr>
          <w:rFonts w:hint="eastAsia" w:ascii="仿宋_GB2312" w:eastAsia="仿宋_GB2312"/>
          <w:b/>
          <w:bCs/>
          <w:sz w:val="30"/>
          <w:szCs w:val="30"/>
        </w:rPr>
        <w:t>首席科学家：</w:t>
      </w:r>
      <w:r>
        <w:rPr>
          <w:rFonts w:hint="eastAsia" w:ascii="仿宋_GB2312" w:eastAsia="仿宋_GB2312"/>
          <w:sz w:val="30"/>
          <w:szCs w:val="30"/>
        </w:rPr>
        <w:t>高锦明</w:t>
      </w:r>
    </w:p>
    <w:p>
      <w:pPr>
        <w:ind w:firstLine="590" w:firstLineChars="196"/>
        <w:jc w:val="left"/>
        <w:rPr>
          <w:rFonts w:ascii="仿宋_GB2312" w:eastAsia="仿宋_GB2312"/>
          <w:sz w:val="30"/>
          <w:szCs w:val="30"/>
        </w:rPr>
      </w:pPr>
      <w:r>
        <w:rPr>
          <w:rFonts w:hint="eastAsia" w:ascii="仿宋_GB2312" w:hAnsi="Calibri" w:eastAsia="仿宋_GB2312"/>
          <w:b/>
          <w:bCs/>
          <w:sz w:val="30"/>
          <w:szCs w:val="30"/>
        </w:rPr>
        <w:t>建设方向：</w:t>
      </w:r>
      <w:r>
        <w:rPr>
          <w:rFonts w:hint="eastAsia" w:ascii="仿宋_GB2312" w:eastAsia="仿宋_GB2312"/>
          <w:sz w:val="30"/>
          <w:szCs w:val="30"/>
        </w:rPr>
        <w:t>重点聚焦食品安全、营养与健康等科学问题，着力在西部农产品精深加工技术与装备、食品营养调控与质量安全、天然产物化学与功能性食品、葡萄与葡萄酒等方向开展研究。</w:t>
      </w:r>
    </w:p>
    <w:p>
      <w:pPr>
        <w:pStyle w:val="2"/>
        <w:ind w:firstLine="602"/>
      </w:pPr>
      <w:r>
        <w:rPr>
          <w:rFonts w:hint="eastAsia" w:ascii="仿宋_GB2312" w:hAnsi="Calibri"/>
          <w:sz w:val="30"/>
          <w:szCs w:val="30"/>
        </w:rPr>
        <w:t>建设目标：</w:t>
      </w:r>
      <w:r>
        <w:rPr>
          <w:rFonts w:hint="eastAsia" w:ascii="仿宋_GB2312"/>
          <w:b w:val="0"/>
          <w:bCs w:val="0"/>
          <w:sz w:val="30"/>
          <w:szCs w:val="30"/>
        </w:rPr>
        <w:t>农产品精深加工与质量安全、葡萄与葡萄酒领域创新水平世界一流。</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73"/>
    <w:rsid w:val="000407AE"/>
    <w:rsid w:val="002A326D"/>
    <w:rsid w:val="003826A3"/>
    <w:rsid w:val="00415F2E"/>
    <w:rsid w:val="00475137"/>
    <w:rsid w:val="004F4C45"/>
    <w:rsid w:val="0055236D"/>
    <w:rsid w:val="00586DC8"/>
    <w:rsid w:val="006F2A35"/>
    <w:rsid w:val="007C2D7C"/>
    <w:rsid w:val="007D5A35"/>
    <w:rsid w:val="008146FC"/>
    <w:rsid w:val="00851CE3"/>
    <w:rsid w:val="008530F1"/>
    <w:rsid w:val="008A5DC8"/>
    <w:rsid w:val="00905AEC"/>
    <w:rsid w:val="0094595D"/>
    <w:rsid w:val="00A35E20"/>
    <w:rsid w:val="00A52B87"/>
    <w:rsid w:val="00AF1673"/>
    <w:rsid w:val="00B66348"/>
    <w:rsid w:val="00D73C99"/>
    <w:rsid w:val="00E06617"/>
    <w:rsid w:val="00F579BF"/>
    <w:rsid w:val="05704993"/>
    <w:rsid w:val="1B0105E7"/>
    <w:rsid w:val="21F66DF7"/>
    <w:rsid w:val="4BED6013"/>
    <w:rsid w:val="75AD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next w:val="1"/>
    <w:qFormat/>
    <w:uiPriority w:val="0"/>
    <w:pPr>
      <w:keepNext/>
      <w:keepLines/>
      <w:widowControl w:val="0"/>
      <w:spacing w:line="600" w:lineRule="exact"/>
      <w:ind w:firstLine="643" w:firstLineChars="200"/>
      <w:outlineLvl w:val="2"/>
    </w:pPr>
    <w:rPr>
      <w:rFonts w:ascii="Times New Roman" w:hAnsi="Times New Roman" w:eastAsia="仿宋_GB2312" w:cs="Times New Roman"/>
      <w:b/>
      <w:bCs/>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1262</Words>
  <Characters>1270</Characters>
  <Lines>9</Lines>
  <Paragraphs>2</Paragraphs>
  <TotalTime>11</TotalTime>
  <ScaleCrop>false</ScaleCrop>
  <LinksUpToDate>false</LinksUpToDate>
  <CharactersWithSpaces>1270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2022-04-11T12:32:00Z</dcterms:created>
  <dc:creator>Administrator</dc:creator>
  <cp:lastModifiedBy>西农</cp:lastModifiedBy>
  <dcterms:modified xsi:type="dcterms:W3CDTF">2022-04-21T09:54:28Z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3D7A7088A7A7462A8E48F564395BEF87</vt:lpwstr>
  </property>
</Properties>
</file>