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3C" w:rsidRPr="008850A4" w:rsidRDefault="00BD1486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8850A4">
        <w:rPr>
          <w:rFonts w:ascii="方正小标宋简体" w:eastAsia="方正小标宋简体" w:hAnsi="Times New Roman" w:cs="Times New Roman" w:hint="eastAsia"/>
          <w:sz w:val="36"/>
          <w:szCs w:val="36"/>
        </w:rPr>
        <w:t>动物科技学院</w:t>
      </w:r>
    </w:p>
    <w:p w:rsidR="00E578C5" w:rsidRPr="008850A4" w:rsidRDefault="00432A10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8850A4">
        <w:rPr>
          <w:rFonts w:ascii="方正小标宋简体" w:eastAsia="方正小标宋简体" w:hAnsi="Times New Roman" w:cs="Times New Roman" w:hint="eastAsia"/>
          <w:sz w:val="36"/>
          <w:szCs w:val="36"/>
        </w:rPr>
        <w:t>高质量期刊</w:t>
      </w:r>
      <w:r w:rsidR="00682527" w:rsidRPr="008850A4">
        <w:rPr>
          <w:rFonts w:ascii="方正小标宋简体" w:eastAsia="方正小标宋简体" w:hAnsi="Times New Roman" w:cs="Times New Roman" w:hint="eastAsia"/>
          <w:sz w:val="36"/>
          <w:szCs w:val="36"/>
        </w:rPr>
        <w:t>指导</w:t>
      </w:r>
      <w:r w:rsidRPr="008850A4">
        <w:rPr>
          <w:rFonts w:ascii="方正小标宋简体" w:eastAsia="方正小标宋简体" w:hAnsi="Times New Roman" w:cs="Times New Roman" w:hint="eastAsia"/>
          <w:sz w:val="36"/>
          <w:szCs w:val="36"/>
        </w:rPr>
        <w:t>目录管理暂行办法</w:t>
      </w:r>
    </w:p>
    <w:p w:rsidR="00E578C5" w:rsidRDefault="00E578C5">
      <w:pPr>
        <w:widowControl/>
        <w:spacing w:line="56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9D093C" w:rsidRDefault="009D093C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为深入贯彻落实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中共中央、国务院《深化新时代教育评价改革总体方案》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精神，引导科教人员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开展高质量科学研究，产出服务国家战略的标志性成果，支撑学科核心竞争力提升，学校已制定《西北农林科技大学</w:t>
      </w:r>
      <w:r w:rsidRPr="00F369E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高质量期刊指导目录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层级》，同时按照关于制定《西北农林科技大学</w:t>
      </w:r>
      <w:r w:rsidRPr="00F369E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高质量期刊指导目录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》各学院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层级期刊目录标准要求，结合学院学科建设目标定位，特制定动物科技学院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层级期刊目录，依据学校</w:t>
      </w:r>
      <w:r w:rsidRPr="00F369E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高质量期刊指导目录管理暂行办法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要求，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特制定本办法。</w:t>
      </w:r>
    </w:p>
    <w:p w:rsidR="00E578C5" w:rsidRDefault="00432A10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第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条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高质量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期刊</w:t>
      </w:r>
      <w:r w:rsidR="00D2795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指导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目录坚持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聚焦使命、突出质量、分类分级、动态调整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原则进行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制定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E578C5" w:rsidRDefault="00432A10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第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条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高质量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期刊</w:t>
      </w:r>
      <w:r w:rsidR="00D2795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指导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目录分为自然科学类。按照期刊学术影响力以及在</w:t>
      </w:r>
      <w:r w:rsidR="001F407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学院相关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学科领域的学术认可度，分为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G4</w:t>
      </w:r>
      <w:r w:rsidR="001F407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两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个层次。</w:t>
      </w:r>
    </w:p>
    <w:p w:rsidR="001F4071" w:rsidRDefault="00432A10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第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条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 w:rsidR="001F407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G3</w:t>
      </w:r>
      <w:r w:rsidR="001F407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层次期刊为畜牧</w:t>
      </w:r>
      <w:r w:rsidR="003527F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学科</w:t>
      </w:r>
      <w:r w:rsidR="001F407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及水产学科领域公认的权威期刊（主要为中科院大类一区），</w:t>
      </w:r>
      <w:r w:rsidR="001F407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G4</w:t>
      </w:r>
      <w:r w:rsidR="001F4071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层次期刊为畜牧及水产学科领域公认的具有重要影响的核心期刊（主要为中科院大类二区），并含有一定比例的中文核心期刊。</w:t>
      </w:r>
    </w:p>
    <w:p w:rsidR="00E578C5" w:rsidRDefault="00432A10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lastRenderedPageBreak/>
        <w:t>第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条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G4</w:t>
      </w:r>
      <w:r w:rsidR="008A424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两个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层次期刊由学院根据学科</w:t>
      </w:r>
      <w:r w:rsidR="008A424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建设定位及发展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需求</w:t>
      </w:r>
      <w:r w:rsidR="008A424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定。</w:t>
      </w:r>
    </w:p>
    <w:p w:rsidR="009D093C" w:rsidRDefault="00432A10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第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条</w:t>
      </w:r>
      <w:bookmarkStart w:id="0" w:name="_Hlk85837337"/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 w:rsidR="009D093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</w:t>
      </w:r>
      <w:r w:rsidR="009D093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G3</w:t>
      </w:r>
      <w:r w:rsidR="009D093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 w:rsidR="009D093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G4</w:t>
      </w:r>
      <w:r w:rsidR="009D093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层次高质量期刊</w:t>
      </w:r>
      <w:bookmarkEnd w:id="0"/>
      <w:r w:rsidR="009D093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指导目录选</w:t>
      </w:r>
      <w:r w:rsidR="009D093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定程序</w:t>
      </w:r>
      <w:r w:rsidR="008850A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为</w:t>
      </w:r>
      <w:r w:rsidR="009D093C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：</w:t>
      </w:r>
    </w:p>
    <w:p w:rsidR="009D093C" w:rsidRDefault="009D093C" w:rsidP="009D093C">
      <w:pPr>
        <w:widowControl/>
        <w:spacing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学院在学校高质量期刊指导目录基础上，结合</w:t>
      </w:r>
      <w:bookmarkStart w:id="1" w:name="_Hlk85837275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学院学科建设目标定位</w:t>
      </w:r>
      <w:bookmarkEnd w:id="1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，在广泛征求本</w:t>
      </w:r>
      <w:bookmarkStart w:id="2" w:name="_GoBack"/>
      <w:bookmarkEnd w:id="2"/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学科领域专家教授和全体教师意见基础上提出建议目录；</w:t>
      </w:r>
    </w:p>
    <w:p w:rsidR="008850A4" w:rsidRDefault="008850A4" w:rsidP="008850A4">
      <w:pPr>
        <w:widowControl/>
        <w:spacing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学院教授委员会对建议目录审议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并提出咨询意见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9D093C" w:rsidRDefault="005D11AE" w:rsidP="009D093C">
      <w:pPr>
        <w:widowControl/>
        <w:spacing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</w:t>
      </w:r>
      <w:r w:rsidR="009D093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. </w:t>
      </w:r>
      <w:r w:rsidR="009D093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学校“双一流”建设办公室、发展改革处、科学技术发展研究院、人事处、高层次人才工作办公室共同组织对学院建议目录进行审核</w:t>
      </w:r>
      <w:r w:rsidR="008850A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和指导意见</w:t>
      </w:r>
      <w:r w:rsidR="009D093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E578C5" w:rsidRDefault="009D093C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学院党政联席会议审定，报相关职能处室备案后由学院印发。</w:t>
      </w:r>
    </w:p>
    <w:p w:rsidR="00E578C5" w:rsidRDefault="00432A10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第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六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条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高质量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期刊</w:t>
      </w:r>
      <w:r w:rsidR="00D2795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指导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目录重点突出在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学术活动中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发挥引导作用，在应用中注重论文的创新性与贡献度，不得简单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以刊评文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以刊定文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E578C5" w:rsidRDefault="00432A10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第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七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条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高质量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期刊</w:t>
      </w:r>
      <w:r w:rsidR="00D2795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指导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目录实行周期修订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与年度调整的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动态管理机制。</w:t>
      </w:r>
    </w:p>
    <w:p w:rsidR="00E578C5" w:rsidRDefault="005A5BEB">
      <w:pPr>
        <w:widowControl/>
        <w:spacing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1.</w:t>
      </w:r>
      <w:r w:rsidR="00432A1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学院实际情况</w:t>
      </w:r>
      <w:r w:rsidR="00432A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，每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432A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="00432A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年重新修订</w:t>
      </w:r>
      <w:r w:rsidR="00432A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="00432A1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次</w:t>
      </w:r>
      <w:r w:rsidR="001607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E578C5" w:rsidRDefault="00432A10">
      <w:pPr>
        <w:widowControl/>
        <w:spacing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 w:rsidR="005A5BE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对于社会知名学术机构或期刊收录数据库发布预警的期刊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或导向不正确期刊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，每年度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发布预警并及时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调整</w:t>
      </w:r>
      <w:r w:rsidR="001607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E578C5" w:rsidRDefault="00432A10">
      <w:pPr>
        <w:widowControl/>
        <w:spacing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3</w:t>
      </w:r>
      <w:r w:rsidR="005A5BE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.</w:t>
      </w:r>
      <w:r w:rsidR="009F79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按照高质量期刊</w:t>
      </w:r>
      <w:r w:rsidR="009B06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指导</w:t>
      </w:r>
      <w:r w:rsidR="009F793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目录制定原则，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当年新增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且符合学校学科使命的</w:t>
      </w:r>
      <w:r w:rsidR="008861FC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自然指数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期刊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纳入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相应高质量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期刊</w:t>
      </w:r>
      <w:r w:rsidR="00D2795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指导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目录</w:t>
      </w:r>
      <w:r w:rsidR="0016076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；</w:t>
      </w:r>
    </w:p>
    <w:p w:rsidR="00E578C5" w:rsidRDefault="005A5BEB">
      <w:pPr>
        <w:widowControl/>
        <w:spacing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 w:rsidR="00C96947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因</w:t>
      </w:r>
      <w:r w:rsidR="00B972E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其他</w:t>
      </w:r>
      <w:r w:rsidR="00432A1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特殊原因需要对期刊目录进行调整时，按照本办法规定程序进行调整。</w:t>
      </w:r>
    </w:p>
    <w:p w:rsidR="00E578C5" w:rsidRDefault="00432A10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第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>八</w:t>
      </w: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条</w:t>
      </w:r>
      <w:r w:rsidR="00D814A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</w:rPr>
        <w:t xml:space="preserve"> </w:t>
      </w:r>
      <w:r w:rsidR="00FE3F6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本办法自公布之日起实施，由</w:t>
      </w:r>
      <w:r w:rsidR="00FE3F6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 w:rsidR="00FE3F6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双一流</w:t>
      </w:r>
      <w:r w:rsidR="00FE3F6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 w:rsidR="00FE3F6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建设办公室</w:t>
      </w:r>
      <w:r w:rsidR="00FE3F6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和动物</w:t>
      </w:r>
      <w:r w:rsidR="008850A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科技</w:t>
      </w:r>
      <w:r w:rsidR="00FE3F6B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学院共同</w:t>
      </w:r>
      <w:r w:rsidR="00FE3F6B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负责解释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D814A8" w:rsidRDefault="00D814A8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D814A8" w:rsidRDefault="00D814A8" w:rsidP="005A5C65">
      <w:pPr>
        <w:widowControl/>
        <w:spacing w:beforeLines="50" w:line="600" w:lineRule="exact"/>
        <w:ind w:firstLine="646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D814A8" w:rsidRPr="00D814A8" w:rsidRDefault="00D814A8" w:rsidP="005A5C65">
      <w:pPr>
        <w:widowControl/>
        <w:spacing w:beforeLines="50" w:line="600" w:lineRule="exact"/>
        <w:ind w:firstLine="646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               </w:t>
      </w:r>
    </w:p>
    <w:sectPr w:rsidR="00D814A8" w:rsidRPr="00D814A8" w:rsidSect="001324BD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8F1" w:rsidRDefault="002438F1">
      <w:r>
        <w:separator/>
      </w:r>
    </w:p>
  </w:endnote>
  <w:endnote w:type="continuationSeparator" w:id="1">
    <w:p w:rsidR="002438F1" w:rsidRDefault="0024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88454"/>
    </w:sdtPr>
    <w:sdtContent>
      <w:p w:rsidR="00E578C5" w:rsidRDefault="003252A3">
        <w:pPr>
          <w:pStyle w:val="a4"/>
          <w:jc w:val="center"/>
        </w:pPr>
        <w:r>
          <w:fldChar w:fldCharType="begin"/>
        </w:r>
        <w:r w:rsidR="00432A10">
          <w:instrText>PAGE   \* MERGEFORMAT</w:instrText>
        </w:r>
        <w:r>
          <w:fldChar w:fldCharType="separate"/>
        </w:r>
        <w:r w:rsidR="005A5C65" w:rsidRPr="005A5C65">
          <w:rPr>
            <w:noProof/>
            <w:lang w:val="zh-CN"/>
          </w:rPr>
          <w:t>1</w:t>
        </w:r>
        <w:r>
          <w:fldChar w:fldCharType="end"/>
        </w:r>
      </w:p>
    </w:sdtContent>
  </w:sdt>
  <w:p w:rsidR="00E578C5" w:rsidRDefault="00E578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8F1" w:rsidRDefault="002438F1">
      <w:r>
        <w:separator/>
      </w:r>
    </w:p>
  </w:footnote>
  <w:footnote w:type="continuationSeparator" w:id="1">
    <w:p w:rsidR="002438F1" w:rsidRDefault="00243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5D9"/>
    <w:rsid w:val="000006D0"/>
    <w:rsid w:val="00014470"/>
    <w:rsid w:val="000C48AA"/>
    <w:rsid w:val="000D5487"/>
    <w:rsid w:val="000F32F0"/>
    <w:rsid w:val="00100290"/>
    <w:rsid w:val="00115E72"/>
    <w:rsid w:val="0013246D"/>
    <w:rsid w:val="001324BD"/>
    <w:rsid w:val="00140276"/>
    <w:rsid w:val="00153D34"/>
    <w:rsid w:val="0016076E"/>
    <w:rsid w:val="00161477"/>
    <w:rsid w:val="00170E94"/>
    <w:rsid w:val="001765AD"/>
    <w:rsid w:val="001A1CF1"/>
    <w:rsid w:val="001D4485"/>
    <w:rsid w:val="001D7C25"/>
    <w:rsid w:val="001F4071"/>
    <w:rsid w:val="002438F1"/>
    <w:rsid w:val="00291674"/>
    <w:rsid w:val="002C2347"/>
    <w:rsid w:val="002D1ADE"/>
    <w:rsid w:val="002F217E"/>
    <w:rsid w:val="00300FF3"/>
    <w:rsid w:val="003252A3"/>
    <w:rsid w:val="003527FA"/>
    <w:rsid w:val="003A04F4"/>
    <w:rsid w:val="003B727B"/>
    <w:rsid w:val="003D7B4D"/>
    <w:rsid w:val="003F3C84"/>
    <w:rsid w:val="00410EEB"/>
    <w:rsid w:val="00415160"/>
    <w:rsid w:val="00432A10"/>
    <w:rsid w:val="0045298E"/>
    <w:rsid w:val="004A26D3"/>
    <w:rsid w:val="00501658"/>
    <w:rsid w:val="005052B5"/>
    <w:rsid w:val="0053263C"/>
    <w:rsid w:val="00556782"/>
    <w:rsid w:val="005709E5"/>
    <w:rsid w:val="005754CF"/>
    <w:rsid w:val="005A39A5"/>
    <w:rsid w:val="005A5BEB"/>
    <w:rsid w:val="005A5C65"/>
    <w:rsid w:val="005B0194"/>
    <w:rsid w:val="005D11AE"/>
    <w:rsid w:val="005E05D9"/>
    <w:rsid w:val="005E1E0A"/>
    <w:rsid w:val="005E55EF"/>
    <w:rsid w:val="0061227B"/>
    <w:rsid w:val="00626549"/>
    <w:rsid w:val="006347D6"/>
    <w:rsid w:val="00682527"/>
    <w:rsid w:val="00685038"/>
    <w:rsid w:val="006A14E6"/>
    <w:rsid w:val="006D5798"/>
    <w:rsid w:val="00745F12"/>
    <w:rsid w:val="007732BF"/>
    <w:rsid w:val="00776E41"/>
    <w:rsid w:val="007B26AC"/>
    <w:rsid w:val="007C60C3"/>
    <w:rsid w:val="0080074C"/>
    <w:rsid w:val="00813911"/>
    <w:rsid w:val="00862ABC"/>
    <w:rsid w:val="008850A4"/>
    <w:rsid w:val="008861FC"/>
    <w:rsid w:val="00890AFC"/>
    <w:rsid w:val="00893CEF"/>
    <w:rsid w:val="008A4247"/>
    <w:rsid w:val="0090409E"/>
    <w:rsid w:val="00976BFB"/>
    <w:rsid w:val="00980612"/>
    <w:rsid w:val="00981145"/>
    <w:rsid w:val="0099251D"/>
    <w:rsid w:val="0099619D"/>
    <w:rsid w:val="009B063E"/>
    <w:rsid w:val="009D093C"/>
    <w:rsid w:val="009D30A4"/>
    <w:rsid w:val="009E2CFF"/>
    <w:rsid w:val="009F793E"/>
    <w:rsid w:val="00A166D9"/>
    <w:rsid w:val="00A2642B"/>
    <w:rsid w:val="00A330A5"/>
    <w:rsid w:val="00A403EC"/>
    <w:rsid w:val="00A942E0"/>
    <w:rsid w:val="00A94663"/>
    <w:rsid w:val="00A96965"/>
    <w:rsid w:val="00AD223D"/>
    <w:rsid w:val="00B13041"/>
    <w:rsid w:val="00B376C4"/>
    <w:rsid w:val="00B50D72"/>
    <w:rsid w:val="00B56921"/>
    <w:rsid w:val="00B85D70"/>
    <w:rsid w:val="00B972E8"/>
    <w:rsid w:val="00BC1C48"/>
    <w:rsid w:val="00BD1486"/>
    <w:rsid w:val="00C32B33"/>
    <w:rsid w:val="00C7445C"/>
    <w:rsid w:val="00C75B94"/>
    <w:rsid w:val="00C96947"/>
    <w:rsid w:val="00CA1716"/>
    <w:rsid w:val="00CA1E9C"/>
    <w:rsid w:val="00CD1CF2"/>
    <w:rsid w:val="00CF1148"/>
    <w:rsid w:val="00D27957"/>
    <w:rsid w:val="00D60C50"/>
    <w:rsid w:val="00D814A8"/>
    <w:rsid w:val="00D82B87"/>
    <w:rsid w:val="00DC060B"/>
    <w:rsid w:val="00DD140B"/>
    <w:rsid w:val="00E41324"/>
    <w:rsid w:val="00E578C5"/>
    <w:rsid w:val="00EF0C53"/>
    <w:rsid w:val="00F65915"/>
    <w:rsid w:val="00FE3F6B"/>
    <w:rsid w:val="00FF5E9F"/>
    <w:rsid w:val="00FF7E5C"/>
    <w:rsid w:val="012B738F"/>
    <w:rsid w:val="04E72847"/>
    <w:rsid w:val="166B029B"/>
    <w:rsid w:val="1C5619CF"/>
    <w:rsid w:val="1E08380E"/>
    <w:rsid w:val="232836D2"/>
    <w:rsid w:val="2CBB59F2"/>
    <w:rsid w:val="474E19EC"/>
    <w:rsid w:val="4E9F4F8A"/>
    <w:rsid w:val="59A726D7"/>
    <w:rsid w:val="5CFE3B96"/>
    <w:rsid w:val="6B215F8C"/>
    <w:rsid w:val="72CB3754"/>
    <w:rsid w:val="7D2D756F"/>
    <w:rsid w:val="7E54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2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2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32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324B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24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24BD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D814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宋广林</dc:creator>
  <cp:lastModifiedBy>樵淑银</cp:lastModifiedBy>
  <cp:revision>9</cp:revision>
  <dcterms:created xsi:type="dcterms:W3CDTF">2021-12-13T07:56:00Z</dcterms:created>
  <dcterms:modified xsi:type="dcterms:W3CDTF">2022-01-07T01:40:00Z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73C3C45B16834AEDA0D90A767360AEF9</vt:lpwstr>
  </property>
</Properties>
</file>